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B3C3" w14:textId="77777777" w:rsidR="0010431E" w:rsidRDefault="0010431E" w:rsidP="0010431E">
      <w:pPr>
        <w:pStyle w:val="Normale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Seminario online gratuito in due giornate per docenti di lingua inglese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The Power of Choice: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Student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-led learning for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real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-world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communication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28 e 30 gennaio 2026, ore 16.00 - 18.00</w:t>
      </w:r>
    </w:p>
    <w:p w14:paraId="09892320" w14:textId="77777777" w:rsidR="0010431E" w:rsidRDefault="0010431E" w:rsidP="0010431E">
      <w:pPr>
        <w:pStyle w:val="Normale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Che cosa accadrebbe se gli studenti diventassero davvero protagonisti del proprio apprendimento linguistico? A questa domanda risponde il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seminario online gratuito per docenti di inglese “The Power of Choice: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Student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-led learning for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real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-world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communication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. I partecipanti esploreremo come le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choice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boards</w:t>
      </w:r>
      <w:r>
        <w:rPr>
          <w:rFonts w:ascii="Arial" w:hAnsi="Arial" w:cs="Arial"/>
          <w:color w:val="000000"/>
          <w:sz w:val="22"/>
          <w:szCs w:val="22"/>
        </w:rPr>
        <w:t xml:space="preserve"> possano rendere la classe più </w:t>
      </w:r>
      <w:r>
        <w:rPr>
          <w:rFonts w:ascii="Arial" w:hAnsi="Arial" w:cs="Arial"/>
          <w:b/>
          <w:bCs/>
          <w:color w:val="000000"/>
          <w:sz w:val="22"/>
          <w:szCs w:val="22"/>
        </w:rPr>
        <w:t>attiva, motivante e centrata sui bisogni reali degli studenti</w:t>
      </w:r>
      <w:r>
        <w:rPr>
          <w:rFonts w:ascii="Arial" w:hAnsi="Arial" w:cs="Arial"/>
          <w:color w:val="000000"/>
          <w:sz w:val="22"/>
          <w:szCs w:val="22"/>
        </w:rPr>
        <w:t xml:space="preserve">, grazie a esempi concreti di pratica didattica. I docenti scopriranno come aumentare l’autonomia e l’acquisizione linguistica attraverso la possibilità di scelta; progettare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choice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boards</w:t>
      </w:r>
      <w:r>
        <w:rPr>
          <w:rFonts w:ascii="Arial" w:hAnsi="Arial" w:cs="Arial"/>
          <w:color w:val="000000"/>
          <w:sz w:val="22"/>
          <w:szCs w:val="22"/>
        </w:rPr>
        <w:t xml:space="preserve"> differenziate </w:t>
      </w:r>
      <w:r>
        <w:rPr>
          <w:rFonts w:ascii="Arial" w:hAnsi="Arial" w:cs="Arial"/>
          <w:b/>
          <w:bCs/>
          <w:color w:val="000000"/>
          <w:sz w:val="22"/>
          <w:szCs w:val="22"/>
        </w:rPr>
        <w:t>dal Pre-A1 al C1</w:t>
      </w:r>
      <w:r>
        <w:rPr>
          <w:rFonts w:ascii="Arial" w:hAnsi="Arial" w:cs="Arial"/>
          <w:color w:val="000000"/>
          <w:sz w:val="22"/>
          <w:szCs w:val="22"/>
        </w:rPr>
        <w:t xml:space="preserve">; creare attività personalizzabili che integrano le </w:t>
      </w:r>
      <w:r>
        <w:rPr>
          <w:rFonts w:ascii="Arial" w:hAnsi="Arial" w:cs="Arial"/>
          <w:b/>
          <w:bCs/>
          <w:color w:val="000000"/>
          <w:sz w:val="22"/>
          <w:szCs w:val="22"/>
        </w:rPr>
        <w:t>4 abilità</w:t>
      </w:r>
      <w:r>
        <w:rPr>
          <w:rFonts w:ascii="Arial" w:hAnsi="Arial" w:cs="Arial"/>
          <w:color w:val="000000"/>
          <w:sz w:val="22"/>
          <w:szCs w:val="22"/>
        </w:rPr>
        <w:t xml:space="preserve">, preparando gli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studenti  alla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comunicazione autentica. </w:t>
      </w:r>
      <w:r>
        <w:rPr>
          <w:rFonts w:ascii="Arial" w:hAnsi="Arial" w:cs="Arial"/>
          <w:color w:val="000000"/>
          <w:sz w:val="22"/>
          <w:szCs w:val="22"/>
        </w:rPr>
        <w:br/>
        <w:t xml:space="preserve">L’iniziativa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è inserita su </w:t>
      </w:r>
      <w:r>
        <w:rPr>
          <w:rFonts w:ascii="Arial" w:hAnsi="Arial" w:cs="Arial"/>
          <w:color w:val="000000"/>
          <w:sz w:val="22"/>
          <w:szCs w:val="22"/>
        </w:rPr>
        <w:t xml:space="preserve">S.O.F.I.A. codice 102469.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Iscrizione parte 1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4" w:history="1">
        <w:r>
          <w:rPr>
            <w:rStyle w:val="Collegamentoipertestuale"/>
            <w:rFonts w:ascii="Arial" w:eastAsiaTheme="majorEastAsia" w:hAnsi="Arial" w:cs="Arial"/>
            <w:color w:val="1155CC"/>
            <w:sz w:val="22"/>
            <w:szCs w:val="22"/>
          </w:rPr>
          <w:t>https://www.trinitycollege.it/incontra-trinity/data/13122</w:t>
        </w:r>
      </w:hyperlink>
    </w:p>
    <w:p w14:paraId="6D15350D" w14:textId="77777777" w:rsidR="0010431E" w:rsidRDefault="0010431E" w:rsidP="0010431E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1A116ED" w14:textId="77777777" w:rsidR="0010431E" w:rsidRDefault="0010431E" w:rsidP="0010431E">
      <w:pPr>
        <w:pStyle w:val="Normale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Seminario online gratuito in due giornate per docenti di musica e strumento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Supporting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Tests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Session Skills - nuove prospettive per la formazione musicale con Trinity College London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14 e 16 gennaio 2026, ore 10.00 - 12.00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In attuazione dell’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Accordo di Programma fra Trinity College London e il CNAPM </w:t>
      </w:r>
      <w:r>
        <w:rPr>
          <w:rFonts w:ascii="Arial" w:hAnsi="Arial" w:cs="Arial"/>
          <w:color w:val="000000"/>
          <w:sz w:val="22"/>
          <w:szCs w:val="22"/>
        </w:rPr>
        <w:t xml:space="preserve">(Ministero dell’Istruzione e del Merito) siglato il 10 dicembre 2025 e in considerazione dell’articolo 1 del suddetto accordo, il seminario vuole offrire una proposta in cui coniugare le competenze teoriche e pratiche, fornendo agli insegnanti strumenti operativi per guidare i propri studenti nello sviluppo di abilità trasversali e scoprire come integrare nella propria didattica musicale e strumentale </w:t>
      </w:r>
      <w:r>
        <w:rPr>
          <w:rFonts w:ascii="Arial" w:hAnsi="Arial" w:cs="Arial"/>
          <w:b/>
          <w:bCs/>
          <w:color w:val="000000"/>
          <w:sz w:val="22"/>
          <w:szCs w:val="22"/>
        </w:rPr>
        <w:t>i "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Supporting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Tests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" e le "Session Skills" </w:t>
      </w:r>
      <w:r>
        <w:rPr>
          <w:rFonts w:ascii="Arial" w:hAnsi="Arial" w:cs="Arial"/>
          <w:color w:val="000000"/>
          <w:sz w:val="22"/>
          <w:szCs w:val="22"/>
        </w:rPr>
        <w:t xml:space="preserve">che caratterizzano gli esami di certificazione internazionale di Trinity. </w:t>
      </w:r>
      <w:r>
        <w:rPr>
          <w:rFonts w:ascii="Arial" w:hAnsi="Arial" w:cs="Arial"/>
          <w:color w:val="000000"/>
          <w:sz w:val="22"/>
          <w:szCs w:val="22"/>
        </w:rPr>
        <w:br/>
        <w:t xml:space="preserve">Nei momenti di confronto teorico il seminario sarà utile a chiarire obiettivi, struttura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efficacia dei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supporting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tests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 all’interno delle </w:t>
      </w:r>
      <w:r>
        <w:rPr>
          <w:rFonts w:ascii="Arial" w:hAnsi="Arial" w:cs="Arial"/>
          <w:i/>
          <w:iCs/>
          <w:color w:val="000000"/>
          <w:sz w:val="22"/>
          <w:szCs w:val="22"/>
        </w:rPr>
        <w:t>breakout rooms</w:t>
      </w:r>
      <w:r>
        <w:rPr>
          <w:rFonts w:ascii="Arial" w:hAnsi="Arial" w:cs="Arial"/>
          <w:color w:val="000000"/>
          <w:sz w:val="22"/>
          <w:szCs w:val="22"/>
        </w:rPr>
        <w:t xml:space="preserve"> saranno proposte attività pratiche finalizzate a rendere concreti e praticabili i benefici degli stessi test, in modo tale da poter proporle successivamente durante le lezioni individuali e di classe o nei laboratori strumentali.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L’iniziativa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è inserita su </w:t>
      </w:r>
      <w:r>
        <w:rPr>
          <w:rFonts w:ascii="Arial" w:hAnsi="Arial" w:cs="Arial"/>
          <w:color w:val="000000"/>
          <w:sz w:val="22"/>
          <w:szCs w:val="22"/>
        </w:rPr>
        <w:t>S.O.F.I.A. codice 102470.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Iscrizione parte 1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5" w:history="1">
        <w:r>
          <w:rPr>
            <w:rStyle w:val="Collegamentoipertestuale"/>
            <w:rFonts w:ascii="Arial" w:eastAsiaTheme="majorEastAsia" w:hAnsi="Arial" w:cs="Arial"/>
            <w:color w:val="1155CC"/>
            <w:sz w:val="22"/>
            <w:szCs w:val="22"/>
          </w:rPr>
          <w:t>https://www.trinitycollege.it/incontra-trinity/data/12980</w:t>
        </w:r>
      </w:hyperlink>
    </w:p>
    <w:p w14:paraId="14E510AB" w14:textId="77777777" w:rsidR="002D1F50" w:rsidRDefault="002D1F50"/>
    <w:sectPr w:rsidR="002D1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1E"/>
    <w:rsid w:val="0010431E"/>
    <w:rsid w:val="002D1F50"/>
    <w:rsid w:val="008A0699"/>
    <w:rsid w:val="00923BB3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2288"/>
  <w15:chartTrackingRefBased/>
  <w15:docId w15:val="{AB827497-7499-E647-A754-88CE45B9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4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4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4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4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43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43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43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43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4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4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43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43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43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43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43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43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43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3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4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43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43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43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4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43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431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043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104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initycollege.it/incontra-trinity/data/12980" TargetMode="External"/><Relationship Id="rId4" Type="http://schemas.openxmlformats.org/officeDocument/2006/relationships/hyperlink" Target="https://www.trinitycollege.it/incontra-trinity/data/131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Bonora</dc:creator>
  <cp:keywords/>
  <dc:description/>
  <cp:lastModifiedBy>Raffaella Bonora</cp:lastModifiedBy>
  <cp:revision>1</cp:revision>
  <dcterms:created xsi:type="dcterms:W3CDTF">2025-12-17T15:14:00Z</dcterms:created>
  <dcterms:modified xsi:type="dcterms:W3CDTF">2025-12-17T15:14:00Z</dcterms:modified>
</cp:coreProperties>
</file>